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F9" w:rsidRDefault="001B7FF9" w:rsidP="00F92722">
      <w:pPr>
        <w:spacing w:line="360" w:lineRule="auto"/>
        <w:jc w:val="center"/>
        <w:rPr>
          <w:rFonts w:ascii="Verdana" w:hAnsi="Verdana"/>
          <w:b/>
        </w:rPr>
      </w:pPr>
    </w:p>
    <w:p w:rsidR="001B7FF9" w:rsidRDefault="00D63AD8" w:rsidP="00F92722">
      <w:pPr>
        <w:spacing w:line="360" w:lineRule="auto"/>
        <w:jc w:val="center"/>
        <w:rPr>
          <w:rFonts w:ascii="Verdana" w:hAnsi="Verdana"/>
          <w:b/>
        </w:rPr>
      </w:pPr>
      <w:r w:rsidRPr="00C15311">
        <w:rPr>
          <w:noProof/>
        </w:rPr>
        <w:drawing>
          <wp:inline distT="0" distB="0" distL="0" distR="0" wp14:anchorId="302E77FD" wp14:editId="01BDEC8C">
            <wp:extent cx="2209800" cy="781050"/>
            <wp:effectExtent l="0" t="0" r="0" b="0"/>
            <wp:docPr id="1" name="Picture 1" descr="Y:\D_drive\My Documents\Policy\SMCL\SMC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_drive\My Documents\Policy\SMCL\SMC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D8" w:rsidRPr="00D63AD8" w:rsidRDefault="00D63AD8" w:rsidP="00D63AD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D63AD8">
        <w:rPr>
          <w:rFonts w:ascii="Verdana" w:eastAsia="Times New Roman" w:hAnsi="Verdana" w:cs="Arial"/>
          <w:b/>
          <w:sz w:val="20"/>
          <w:szCs w:val="20"/>
        </w:rPr>
        <w:t>SIMPLEX MILLS COMPANY LIMITED</w:t>
      </w:r>
    </w:p>
    <w:p w:rsidR="00D63AD8" w:rsidRDefault="00D63AD8" w:rsidP="00D63AD8">
      <w:pPr>
        <w:spacing w:after="0" w:line="240" w:lineRule="auto"/>
        <w:jc w:val="center"/>
        <w:rPr>
          <w:rFonts w:ascii="Gill Sans MT" w:hAnsi="Gill Sans MT" w:cs="Arial"/>
          <w:sz w:val="18"/>
          <w:szCs w:val="18"/>
        </w:rPr>
      </w:pPr>
    </w:p>
    <w:p w:rsidR="00D63AD8" w:rsidRDefault="00D63AD8" w:rsidP="00D63AD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D63AD8">
        <w:rPr>
          <w:rFonts w:ascii="Verdana" w:hAnsi="Verdana" w:cs="Arial"/>
          <w:sz w:val="18"/>
          <w:szCs w:val="18"/>
        </w:rPr>
        <w:t>CIN: L65900MH1998PLC116585</w:t>
      </w:r>
    </w:p>
    <w:p w:rsidR="00D63AD8" w:rsidRPr="00D63AD8" w:rsidRDefault="00D63AD8" w:rsidP="00D63AD8">
      <w:pPr>
        <w:spacing w:after="0" w:line="240" w:lineRule="auto"/>
        <w:jc w:val="center"/>
        <w:rPr>
          <w:rFonts w:ascii="Verdana" w:hAnsi="Verdana" w:cs="Arial"/>
          <w:sz w:val="10"/>
          <w:szCs w:val="18"/>
        </w:rPr>
      </w:pPr>
    </w:p>
    <w:p w:rsidR="00D63AD8" w:rsidRPr="00D63AD8" w:rsidRDefault="00D63AD8" w:rsidP="00D63AD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D63AD8">
        <w:rPr>
          <w:rFonts w:ascii="Verdana" w:hAnsi="Verdana" w:cs="Arial"/>
          <w:b/>
          <w:sz w:val="18"/>
          <w:szCs w:val="18"/>
        </w:rPr>
        <w:t xml:space="preserve">Registered Office: </w:t>
      </w:r>
      <w:r w:rsidRPr="00D63AD8">
        <w:rPr>
          <w:rFonts w:ascii="Verdana" w:hAnsi="Verdana" w:cs="Arial"/>
          <w:sz w:val="18"/>
          <w:szCs w:val="18"/>
        </w:rPr>
        <w:t xml:space="preserve">30, Keshavrao </w:t>
      </w:r>
      <w:proofErr w:type="spellStart"/>
      <w:r w:rsidRPr="00D63AD8">
        <w:rPr>
          <w:rFonts w:ascii="Verdana" w:hAnsi="Verdana" w:cs="Arial"/>
          <w:sz w:val="18"/>
          <w:szCs w:val="18"/>
        </w:rPr>
        <w:t>Khadye</w:t>
      </w:r>
      <w:proofErr w:type="spellEnd"/>
      <w:r w:rsidRPr="00D63AD8">
        <w:rPr>
          <w:rFonts w:ascii="Verdana" w:hAnsi="Verdana" w:cs="Arial"/>
          <w:sz w:val="18"/>
          <w:szCs w:val="18"/>
        </w:rPr>
        <w:t xml:space="preserve"> Marg, </w:t>
      </w:r>
      <w:proofErr w:type="spellStart"/>
      <w:r w:rsidRPr="00D63AD8">
        <w:rPr>
          <w:rFonts w:ascii="Verdana" w:hAnsi="Verdana" w:cs="Arial"/>
          <w:sz w:val="18"/>
          <w:szCs w:val="18"/>
        </w:rPr>
        <w:t>Sant</w:t>
      </w:r>
      <w:proofErr w:type="spellEnd"/>
      <w:r w:rsidRPr="00D63A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63AD8">
        <w:rPr>
          <w:rFonts w:ascii="Verdana" w:hAnsi="Verdana" w:cs="Arial"/>
          <w:sz w:val="18"/>
          <w:szCs w:val="18"/>
        </w:rPr>
        <w:t>Gadge</w:t>
      </w:r>
      <w:proofErr w:type="spellEnd"/>
      <w:r w:rsidRPr="00D63AD8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D63AD8">
        <w:rPr>
          <w:rFonts w:ascii="Verdana" w:hAnsi="Verdana" w:cs="Arial"/>
          <w:sz w:val="18"/>
          <w:szCs w:val="18"/>
        </w:rPr>
        <w:t>Maharaj</w:t>
      </w:r>
      <w:proofErr w:type="spellEnd"/>
      <w:r w:rsidRPr="00D63AD8">
        <w:rPr>
          <w:rFonts w:ascii="Verdana" w:hAnsi="Verdana" w:cs="Arial"/>
          <w:sz w:val="18"/>
          <w:szCs w:val="18"/>
        </w:rPr>
        <w:t xml:space="preserve"> Chowk, Mumbai-400 011</w:t>
      </w:r>
    </w:p>
    <w:p w:rsidR="001B7FF9" w:rsidRPr="001B7FF9" w:rsidRDefault="00D63AD8" w:rsidP="00D63AD8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63AD8">
        <w:rPr>
          <w:rFonts w:ascii="Verdana" w:hAnsi="Verdana"/>
          <w:sz w:val="18"/>
          <w:szCs w:val="18"/>
        </w:rPr>
        <w:t xml:space="preserve">Website: </w:t>
      </w:r>
      <w:hyperlink r:id="rId5" w:history="1">
        <w:r w:rsidRPr="00D63AD8">
          <w:rPr>
            <w:rFonts w:ascii="Verdana" w:hAnsi="Verdana"/>
            <w:color w:val="0563C1" w:themeColor="hyperlink"/>
            <w:sz w:val="18"/>
            <w:szCs w:val="18"/>
            <w:u w:val="single"/>
          </w:rPr>
          <w:t>www.simplex-group.com</w:t>
        </w:r>
      </w:hyperlink>
      <w:r w:rsidRPr="00D63AD8">
        <w:rPr>
          <w:rFonts w:ascii="Verdana" w:hAnsi="Verdana"/>
          <w:color w:val="0563C1" w:themeColor="hyperlink"/>
          <w:sz w:val="18"/>
          <w:szCs w:val="18"/>
          <w:u w:val="single"/>
        </w:rPr>
        <w:t xml:space="preserve"> </w:t>
      </w:r>
      <w:r w:rsidRPr="00D63AD8">
        <w:rPr>
          <w:rFonts w:ascii="Verdana" w:hAnsi="Verdana"/>
          <w:sz w:val="18"/>
          <w:szCs w:val="18"/>
        </w:rPr>
        <w:t>Tel.: + 91 22 23082951 Fax: + 91 22 23072773</w:t>
      </w:r>
    </w:p>
    <w:p w:rsidR="001B7FF9" w:rsidRPr="004A103F" w:rsidRDefault="001B7FF9" w:rsidP="00F92722">
      <w:pPr>
        <w:spacing w:line="360" w:lineRule="auto"/>
        <w:jc w:val="center"/>
        <w:rPr>
          <w:rFonts w:ascii="Verdana" w:hAnsi="Verdana"/>
          <w:b/>
          <w:sz w:val="10"/>
        </w:rPr>
      </w:pPr>
    </w:p>
    <w:p w:rsidR="004A103F" w:rsidRDefault="004A103F" w:rsidP="001B7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92722" w:rsidRPr="004A103F" w:rsidRDefault="00F92722" w:rsidP="001B7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MANDATORY DEMATERIALIZATION FOR TRANSFER OF SECURITIES</w:t>
      </w:r>
    </w:p>
    <w:p w:rsidR="004A103F" w:rsidRPr="004A103F" w:rsidRDefault="004A103F" w:rsidP="00F92722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Members may please be informed  that  the Securities and Exchange Board of India (SEBI)   vide  its  notification  dated  8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June  2018,  has  mandated transfer of securities in dematerialized form only by making an amendment in Regulation 40 of the SEBI (Listing Obligations and </w:t>
      </w:r>
      <w:r w:rsidR="009E2BB9" w:rsidRPr="004A103F">
        <w:rPr>
          <w:rFonts w:ascii="Verdana" w:hAnsi="Verdana"/>
          <w:sz w:val="20"/>
          <w:szCs w:val="20"/>
        </w:rPr>
        <w:t xml:space="preserve">Disclosure Requirements) </w:t>
      </w:r>
      <w:r w:rsidRPr="004A103F">
        <w:rPr>
          <w:rFonts w:ascii="Verdana" w:hAnsi="Verdana"/>
          <w:sz w:val="20"/>
          <w:szCs w:val="20"/>
        </w:rPr>
        <w:t>Regulations</w:t>
      </w:r>
      <w:r w:rsidR="009E2BB9" w:rsidRPr="004A103F">
        <w:rPr>
          <w:rFonts w:ascii="Verdana" w:hAnsi="Verdana"/>
          <w:sz w:val="20"/>
          <w:szCs w:val="20"/>
        </w:rPr>
        <w:t xml:space="preserve">,2015 (the Listing Regulations) </w:t>
      </w:r>
      <w:r w:rsidRPr="004A103F">
        <w:rPr>
          <w:rFonts w:ascii="Verdana" w:hAnsi="Verdana"/>
          <w:sz w:val="20"/>
          <w:szCs w:val="20"/>
        </w:rPr>
        <w:t>which will come into effect from 5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December, 2018.</w:t>
      </w: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According to the aforesaid notification, request for effecting transfer of securities shall not be  processed  unless  the  securities  are  held  in  the  </w:t>
      </w:r>
      <w:r w:rsidR="009E2BB9" w:rsidRPr="004A103F">
        <w:rPr>
          <w:rFonts w:ascii="Verdana" w:hAnsi="Verdana"/>
          <w:sz w:val="20"/>
          <w:szCs w:val="20"/>
        </w:rPr>
        <w:t>d</w:t>
      </w:r>
      <w:r w:rsidRPr="004A103F">
        <w:rPr>
          <w:rFonts w:ascii="Verdana" w:hAnsi="Verdana"/>
          <w:sz w:val="20"/>
          <w:szCs w:val="20"/>
        </w:rPr>
        <w:t xml:space="preserve">ematerialized  form  with  effect  from </w:t>
      </w:r>
      <w:r w:rsidR="009E2BB9" w:rsidRPr="004A103F">
        <w:rPr>
          <w:rFonts w:ascii="Verdana" w:hAnsi="Verdana"/>
          <w:sz w:val="20"/>
          <w:szCs w:val="20"/>
        </w:rPr>
        <w:t>5</w:t>
      </w:r>
      <w:r w:rsidR="009E2BB9" w:rsidRPr="004A103F">
        <w:rPr>
          <w:rFonts w:ascii="Verdana" w:hAnsi="Verdana"/>
          <w:sz w:val="20"/>
          <w:szCs w:val="20"/>
          <w:vertAlign w:val="superscript"/>
        </w:rPr>
        <w:t>th</w:t>
      </w:r>
      <w:r w:rsidR="009E2BB9" w:rsidRPr="004A103F">
        <w:rPr>
          <w:rFonts w:ascii="Verdana" w:hAnsi="Verdana"/>
          <w:sz w:val="20"/>
          <w:szCs w:val="20"/>
        </w:rPr>
        <w:t xml:space="preserve"> </w:t>
      </w:r>
      <w:r w:rsidRPr="004A103F">
        <w:rPr>
          <w:rFonts w:ascii="Verdana" w:hAnsi="Verdana"/>
          <w:sz w:val="20"/>
          <w:szCs w:val="20"/>
        </w:rPr>
        <w:t>December</w:t>
      </w:r>
      <w:r w:rsidR="009E2BB9" w:rsidRPr="004A103F">
        <w:rPr>
          <w:rFonts w:ascii="Verdana" w:hAnsi="Verdana"/>
          <w:sz w:val="20"/>
          <w:szCs w:val="20"/>
        </w:rPr>
        <w:t>,</w:t>
      </w:r>
      <w:r w:rsidRPr="004A103F">
        <w:rPr>
          <w:rFonts w:ascii="Verdana" w:hAnsi="Verdana"/>
          <w:sz w:val="20"/>
          <w:szCs w:val="20"/>
        </w:rPr>
        <w:t xml:space="preserve"> 2018. </w:t>
      </w:r>
    </w:p>
    <w:p w:rsidR="00F92722" w:rsidRPr="004A103F" w:rsidRDefault="00F92722" w:rsidP="00C872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Please note that </w:t>
      </w:r>
      <w:r w:rsidR="00C87209" w:rsidRPr="004A103F">
        <w:rPr>
          <w:rFonts w:ascii="Verdana" w:hAnsi="Verdana"/>
          <w:b/>
          <w:sz w:val="20"/>
          <w:szCs w:val="20"/>
        </w:rPr>
        <w:t xml:space="preserve">Freedom Registry Limited, Share Transfer Agent </w:t>
      </w:r>
      <w:r w:rsidR="005A4855" w:rsidRPr="004A103F">
        <w:rPr>
          <w:rFonts w:ascii="Verdana" w:hAnsi="Verdana"/>
          <w:b/>
          <w:sz w:val="20"/>
          <w:szCs w:val="20"/>
        </w:rPr>
        <w:t xml:space="preserve">of the Company </w:t>
      </w:r>
      <w:r w:rsidRPr="004A103F">
        <w:rPr>
          <w:rFonts w:ascii="Verdana" w:hAnsi="Verdana"/>
          <w:b/>
          <w:sz w:val="20"/>
          <w:szCs w:val="20"/>
        </w:rPr>
        <w:t xml:space="preserve">and Company will not accept any request for transfer of shares in physical form with effect from December 5, 2018.  </w:t>
      </w:r>
    </w:p>
    <w:p w:rsidR="00C87209" w:rsidRPr="004A103F" w:rsidRDefault="00C87209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This  restriction  shall  not  be  applicable  to  the  request  received  for  transmission  or transposition of physical shares.  </w:t>
      </w:r>
    </w:p>
    <w:p w:rsidR="005A4855" w:rsidRPr="004A103F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Members are accordingly requested to get in touch with any Depository Participant having registration with the SEBI to open a Demat account. </w:t>
      </w:r>
    </w:p>
    <w:p w:rsidR="00143CA0" w:rsidRPr="004A103F" w:rsidRDefault="00143CA0" w:rsidP="00C872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Process of dematerialization of shares  </w:t>
      </w:r>
    </w:p>
    <w:p w:rsidR="00A652F6" w:rsidRPr="004A103F" w:rsidRDefault="00A652F6" w:rsidP="00A652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Dematerialization starts with opening a Demat account.  For demat account opening, you need to shortlist a Depository Participant (DP) that offers Demat services. A DP is an agent of the depository (NSDL and CDSL) providing depository services to investors</w:t>
      </w:r>
      <w:r w:rsidR="0014253E" w:rsidRPr="004A103F">
        <w:rPr>
          <w:rFonts w:ascii="Verdana" w:hAnsi="Verdana"/>
          <w:sz w:val="20"/>
          <w:szCs w:val="20"/>
        </w:rPr>
        <w:t>.</w:t>
      </w:r>
    </w:p>
    <w:p w:rsidR="00C231D1" w:rsidRDefault="0014253E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To  convert  the  physical  shares  into  electronic/demat  form,  a  Dematerialization  Request Form  (DRF), which is available with  the Depository Participant (DP), has  to be  filled in and deposited  along  with  share  certificates. On each share </w:t>
      </w:r>
      <w:r w:rsidR="00AA7C89" w:rsidRPr="004A103F">
        <w:rPr>
          <w:rFonts w:ascii="Verdana" w:hAnsi="Verdana"/>
          <w:sz w:val="20"/>
          <w:szCs w:val="20"/>
        </w:rPr>
        <w:t>certificate,</w:t>
      </w:r>
      <w:r w:rsidRPr="004A103F">
        <w:rPr>
          <w:rFonts w:ascii="Verdana" w:hAnsi="Verdana"/>
          <w:sz w:val="20"/>
          <w:szCs w:val="20"/>
        </w:rPr>
        <w:t xml:space="preserve"> </w:t>
      </w:r>
      <w:r w:rsidR="00C70D88" w:rsidRPr="004A103F">
        <w:rPr>
          <w:rFonts w:ascii="Verdana" w:hAnsi="Verdana"/>
          <w:sz w:val="20"/>
          <w:szCs w:val="20"/>
        </w:rPr>
        <w:t>‘Surrendered for</w:t>
      </w:r>
      <w:r w:rsidRPr="004A103F">
        <w:rPr>
          <w:rFonts w:ascii="Verdana" w:hAnsi="Verdana"/>
          <w:sz w:val="20"/>
          <w:szCs w:val="20"/>
        </w:rPr>
        <w:t xml:space="preserve"> Dematerialization' needs to be mentioned</w:t>
      </w:r>
      <w:r w:rsidR="00AA7C89" w:rsidRPr="004A103F">
        <w:rPr>
          <w:rFonts w:ascii="Verdana" w:hAnsi="Verdana"/>
          <w:sz w:val="20"/>
          <w:szCs w:val="20"/>
        </w:rPr>
        <w:t>.</w:t>
      </w: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231D1" w:rsidRDefault="00C231D1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A103F" w:rsidRDefault="00AA7C89" w:rsidP="00C231D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Once the request is approved, the shar</w:t>
      </w:r>
      <w:r w:rsidR="00C70D88" w:rsidRPr="004A103F">
        <w:rPr>
          <w:rFonts w:ascii="Verdana" w:hAnsi="Verdana"/>
          <w:sz w:val="20"/>
          <w:szCs w:val="20"/>
        </w:rPr>
        <w:t xml:space="preserve">e certificates in the physical </w:t>
      </w:r>
      <w:r w:rsidRPr="004A103F">
        <w:rPr>
          <w:rFonts w:ascii="Verdana" w:hAnsi="Verdana"/>
          <w:sz w:val="20"/>
          <w:szCs w:val="20"/>
        </w:rPr>
        <w:t>form will be destroyed and a confirmation of dematerialization w</w:t>
      </w:r>
      <w:r w:rsidR="00C231D1">
        <w:rPr>
          <w:rFonts w:ascii="Verdana" w:hAnsi="Verdana"/>
          <w:sz w:val="20"/>
          <w:szCs w:val="20"/>
        </w:rPr>
        <w:t xml:space="preserve">ill be sent to the depository. </w:t>
      </w: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43CA0" w:rsidRDefault="007803F4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The  depository  will  then  confirm  the  dematerialization  of  shares  to  the  DP.  Once this is done, a credit in the holding of shares will reflect in the investor's account electronically</w:t>
      </w:r>
      <w:r w:rsidR="001B7FF9" w:rsidRPr="004A103F">
        <w:rPr>
          <w:rFonts w:ascii="Verdana" w:hAnsi="Verdana"/>
          <w:sz w:val="20"/>
          <w:szCs w:val="20"/>
        </w:rPr>
        <w:t>.</w:t>
      </w:r>
    </w:p>
    <w:p w:rsidR="004A103F" w:rsidRPr="00143CA0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211CC" w:rsidRPr="00143CA0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3CA0">
        <w:rPr>
          <w:rFonts w:ascii="Verdana" w:hAnsi="Verdana"/>
          <w:sz w:val="20"/>
          <w:szCs w:val="20"/>
        </w:rPr>
        <w:t xml:space="preserve">You may also visit web site of </w:t>
      </w:r>
      <w:proofErr w:type="gramStart"/>
      <w:r w:rsidRPr="00143CA0">
        <w:rPr>
          <w:rFonts w:ascii="Verdana" w:hAnsi="Verdana"/>
          <w:sz w:val="20"/>
          <w:szCs w:val="20"/>
        </w:rPr>
        <w:t>depositories</w:t>
      </w:r>
      <w:proofErr w:type="gramEnd"/>
      <w:r w:rsidRPr="00143CA0">
        <w:rPr>
          <w:rFonts w:ascii="Verdana" w:hAnsi="Verdana"/>
          <w:sz w:val="20"/>
          <w:szCs w:val="20"/>
        </w:rPr>
        <w:t xml:space="preserve"> viz., NSDL or CDSL for further understanding about the demat procedure: </w:t>
      </w:r>
    </w:p>
    <w:p w:rsidR="00B211CC" w:rsidRDefault="00C87209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NSDL website: </w:t>
      </w:r>
    </w:p>
    <w:p w:rsidR="00B211CC" w:rsidRDefault="00484F4B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https://nsdl.co.in/services/demat.php</w:t>
        </w:r>
      </w:hyperlink>
    </w:p>
    <w:p w:rsidR="00B211CC" w:rsidRPr="00143CA0" w:rsidRDefault="00B211CC" w:rsidP="00B211CC">
      <w:pPr>
        <w:spacing w:line="360" w:lineRule="auto"/>
        <w:jc w:val="both"/>
        <w:rPr>
          <w:rFonts w:ascii="Verdana" w:hAnsi="Verdana"/>
          <w:sz w:val="4"/>
          <w:szCs w:val="20"/>
        </w:rPr>
      </w:pPr>
    </w:p>
    <w:p w:rsidR="00B211CC" w:rsidRDefault="00B211CC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CDSL </w:t>
      </w:r>
      <w:r w:rsidR="00C87209" w:rsidRPr="00C87209">
        <w:rPr>
          <w:rFonts w:ascii="Verdana" w:hAnsi="Verdana"/>
          <w:sz w:val="20"/>
          <w:szCs w:val="20"/>
        </w:rPr>
        <w:t xml:space="preserve">website: </w:t>
      </w:r>
    </w:p>
    <w:p w:rsidR="00B211CC" w:rsidRDefault="00484F4B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https://www.cdslindia.com/downloads/faq/05.Demat%20CDSL%20Way%20-%20V%20-%20Dematerialization%20January%20</w:t>
        </w:r>
      </w:hyperlink>
    </w:p>
    <w:p w:rsidR="00B211CC" w:rsidRPr="00143CA0" w:rsidRDefault="00C87209" w:rsidP="00B211CC">
      <w:pPr>
        <w:spacing w:line="360" w:lineRule="auto"/>
        <w:jc w:val="both"/>
        <w:rPr>
          <w:rFonts w:ascii="Verdana" w:hAnsi="Verdana"/>
          <w:sz w:val="8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 </w:t>
      </w: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You may access the circulars issued by the BSE and NSE in this regard on </w:t>
      </w:r>
      <w:r w:rsidR="00143CA0">
        <w:rPr>
          <w:rFonts w:ascii="Verdana" w:hAnsi="Verdana"/>
          <w:sz w:val="20"/>
          <w:szCs w:val="20"/>
        </w:rPr>
        <w:t xml:space="preserve">the </w:t>
      </w:r>
      <w:r w:rsidRPr="00C87209">
        <w:rPr>
          <w:rFonts w:ascii="Verdana" w:hAnsi="Verdana"/>
          <w:sz w:val="20"/>
          <w:szCs w:val="20"/>
        </w:rPr>
        <w:t>following links:</w:t>
      </w:r>
    </w:p>
    <w:p w:rsidR="00143CA0" w:rsidRDefault="00143CA0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>BSE website</w:t>
      </w:r>
      <w:r w:rsidR="00143CA0">
        <w:rPr>
          <w:rFonts w:ascii="Verdana" w:hAnsi="Verdana"/>
          <w:sz w:val="20"/>
          <w:szCs w:val="20"/>
        </w:rPr>
        <w:t>:-</w:t>
      </w:r>
    </w:p>
    <w:p w:rsidR="00143CA0" w:rsidRDefault="00484F4B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143CA0" w:rsidRPr="003C41C4">
          <w:rPr>
            <w:rStyle w:val="Hyperlink"/>
            <w:rFonts w:ascii="Verdana" w:hAnsi="Verdana"/>
            <w:sz w:val="20"/>
            <w:szCs w:val="20"/>
          </w:rPr>
          <w:t>https://www.bseindia.com/corporates/Displaydata.aspx?Id=cd22b184-1153-4b05-8ad9-d04699161f89&amp;Page=cir</w:t>
        </w:r>
      </w:hyperlink>
    </w:p>
    <w:p w:rsidR="00B211CC" w:rsidRPr="00143CA0" w:rsidRDefault="00B211CC" w:rsidP="00C87209">
      <w:pPr>
        <w:spacing w:line="360" w:lineRule="auto"/>
        <w:jc w:val="both"/>
        <w:rPr>
          <w:rFonts w:ascii="Verdana" w:hAnsi="Verdana"/>
          <w:sz w:val="8"/>
          <w:szCs w:val="20"/>
        </w:rPr>
      </w:pPr>
    </w:p>
    <w:p w:rsidR="00143CA0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NSE website: </w:t>
      </w:r>
      <w:r w:rsidR="00143CA0">
        <w:rPr>
          <w:rFonts w:ascii="Verdana" w:hAnsi="Verdana"/>
          <w:sz w:val="20"/>
          <w:szCs w:val="20"/>
        </w:rPr>
        <w:t>-</w:t>
      </w:r>
    </w:p>
    <w:p w:rsidR="00B211CC" w:rsidRDefault="00484F4B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https://www.nseindia.com/corporates/content/eq_listcompanies.htm</w:t>
        </w:r>
      </w:hyperlink>
      <w:r w:rsidR="00C87209" w:rsidRPr="00C87209">
        <w:rPr>
          <w:rFonts w:ascii="Verdana" w:hAnsi="Verdana"/>
          <w:sz w:val="20"/>
          <w:szCs w:val="20"/>
        </w:rPr>
        <w:t xml:space="preserve"> </w:t>
      </w:r>
    </w:p>
    <w:p w:rsidR="00143CA0" w:rsidRDefault="00143CA0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87209" w:rsidRPr="00143CA0" w:rsidRDefault="00143CA0" w:rsidP="00143CA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MEMBERS</w:t>
      </w:r>
      <w:r w:rsidR="00C87209" w:rsidRPr="00143CA0">
        <w:rPr>
          <w:rFonts w:ascii="Verdana" w:hAnsi="Verdana"/>
          <w:b/>
          <w:sz w:val="20"/>
          <w:szCs w:val="20"/>
        </w:rPr>
        <w:t>, HOLDING SHARES IN PHYSICAL FORM ARE REQUESTED TO ARRANGE THE DEMATERIALIZATION OF THE SAID SHARES AT EARLIEST TO AVOID ANY INCONVENIENCE IN FUTURE FOR TRANSFERRING THOSE SHARES.</w:t>
      </w:r>
    </w:p>
    <w:p w:rsidR="00C87209" w:rsidRDefault="00C87209" w:rsidP="004A103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A103F" w:rsidRPr="004A103F" w:rsidRDefault="004A103F" w:rsidP="004A103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******************</w:t>
      </w:r>
      <w:bookmarkStart w:id="0" w:name="_GoBack"/>
      <w:bookmarkEnd w:id="0"/>
      <w:r w:rsidRPr="004A103F">
        <w:rPr>
          <w:rFonts w:ascii="Verdana" w:hAnsi="Verdana"/>
          <w:b/>
          <w:sz w:val="20"/>
          <w:szCs w:val="20"/>
        </w:rPr>
        <w:t>****</w:t>
      </w:r>
    </w:p>
    <w:sectPr w:rsidR="004A103F" w:rsidRPr="004A103F" w:rsidSect="004A103F">
      <w:pgSz w:w="11909" w:h="16834" w:code="9"/>
      <w:pgMar w:top="245" w:right="138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6"/>
    <w:rsid w:val="0014253E"/>
    <w:rsid w:val="00143CA0"/>
    <w:rsid w:val="00167616"/>
    <w:rsid w:val="001B7FF9"/>
    <w:rsid w:val="00484F4B"/>
    <w:rsid w:val="004A103F"/>
    <w:rsid w:val="005A4855"/>
    <w:rsid w:val="00677D45"/>
    <w:rsid w:val="00776644"/>
    <w:rsid w:val="007803F4"/>
    <w:rsid w:val="009E2BB9"/>
    <w:rsid w:val="00A652F6"/>
    <w:rsid w:val="00AA7C89"/>
    <w:rsid w:val="00B211CC"/>
    <w:rsid w:val="00C231D1"/>
    <w:rsid w:val="00C70D88"/>
    <w:rsid w:val="00C87209"/>
    <w:rsid w:val="00D63AD8"/>
    <w:rsid w:val="00D82B2D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28C7-F0A5-4175-937E-1DDA2DB1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india.com/corporates/Displaydata.aspx?Id=cd22b184-1153-4b05-8ad9-d04699161f89&amp;Page=c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slindia.com/downloads/faq/05.Demat%20CDSL%20Way%20-%20V%20-%20Dematerialization%20January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dl.co.in/services/dema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mplex-group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nseindia.com/corporates/content/eq_listcompan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3</cp:revision>
  <cp:lastPrinted>2018-08-14T08:53:00Z</cp:lastPrinted>
  <dcterms:created xsi:type="dcterms:W3CDTF">2018-08-14T10:03:00Z</dcterms:created>
  <dcterms:modified xsi:type="dcterms:W3CDTF">2018-08-14T10:05:00Z</dcterms:modified>
</cp:coreProperties>
</file>